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E3A4" w14:textId="055BA629" w:rsidR="003B7FAD" w:rsidRPr="00AF5820" w:rsidRDefault="003B7FAD" w:rsidP="003B7FAD">
      <w:pPr>
        <w:rPr>
          <w:b/>
          <w:sz w:val="22"/>
          <w:szCs w:val="22"/>
        </w:rPr>
      </w:pPr>
      <w:r w:rsidRPr="00AF5820">
        <w:rPr>
          <w:b/>
          <w:sz w:val="22"/>
          <w:szCs w:val="22"/>
        </w:rPr>
        <w:t>Lewes District Local Plan – what is it and how do I have my say?</w:t>
      </w:r>
    </w:p>
    <w:p w14:paraId="2DD3D54B" w14:textId="517CDAEF" w:rsidR="003B7FAD" w:rsidRPr="0042056E" w:rsidRDefault="003B7FAD" w:rsidP="003B7FAD">
      <w:pPr>
        <w:rPr>
          <w:sz w:val="22"/>
          <w:szCs w:val="22"/>
        </w:rPr>
      </w:pPr>
      <w:r w:rsidRPr="0042056E">
        <w:rPr>
          <w:sz w:val="22"/>
          <w:szCs w:val="22"/>
        </w:rPr>
        <w:t>A Local Plan is a statutory document prepared by Lewes District Council (LDC) that sets out a vision for how land in the area should be used over the next 15–20 years. It identifies where new homes, jobs, infrastructure, and community facilities should go, and includes policies used to decide planning applications. During public consultation, you can make effective contributions by focusing on clear, evidence</w:t>
      </w:r>
      <w:r w:rsidRPr="0042056E">
        <w:rPr>
          <w:sz w:val="22"/>
          <w:szCs w:val="22"/>
        </w:rPr>
        <w:noBreakHyphen/>
        <w:t xml:space="preserve">based comments. Explain whether you support or object to specific policies or site allocations and </w:t>
      </w:r>
      <w:r w:rsidRPr="0042056E">
        <w:rPr>
          <w:i/>
          <w:iCs/>
          <w:sz w:val="22"/>
          <w:szCs w:val="22"/>
        </w:rPr>
        <w:t>why</w:t>
      </w:r>
      <w:r w:rsidRPr="0042056E">
        <w:rPr>
          <w:sz w:val="22"/>
          <w:szCs w:val="22"/>
        </w:rPr>
        <w:t xml:space="preserve">, referring to issues such as transport, environment, housing need, design, or community impact. A key point is that the Local Plan needs to align with the National Policy Planning Framework, or it won’t pass through the next stage of approval. </w:t>
      </w:r>
    </w:p>
    <w:p w14:paraId="02655ECE" w14:textId="7E35C954" w:rsidR="003B7FAD" w:rsidRDefault="003B7FAD" w:rsidP="003B7FAD">
      <w:pPr>
        <w:rPr>
          <w:sz w:val="22"/>
          <w:szCs w:val="22"/>
        </w:rPr>
      </w:pPr>
      <w:r w:rsidRPr="0042056E">
        <w:rPr>
          <w:sz w:val="22"/>
          <w:szCs w:val="22"/>
        </w:rPr>
        <w:t xml:space="preserve">The Parish Council worked with a planning consultant who specialises in supporting local people to respond with all the technical knowledge and understanding of which points will be the most effective. A full report will be on the Parish council </w:t>
      </w:r>
      <w:r w:rsidR="0042056E" w:rsidRPr="0042056E">
        <w:rPr>
          <w:sz w:val="22"/>
          <w:szCs w:val="22"/>
        </w:rPr>
        <w:t>website,</w:t>
      </w:r>
      <w:r w:rsidRPr="0042056E">
        <w:rPr>
          <w:sz w:val="22"/>
          <w:szCs w:val="22"/>
        </w:rPr>
        <w:t xml:space="preserve"> and we have put a very shortened version here </w:t>
      </w:r>
      <w:r w:rsidR="0042056E" w:rsidRPr="0042056E">
        <w:rPr>
          <w:sz w:val="22"/>
          <w:szCs w:val="22"/>
        </w:rPr>
        <w:t>if you would like support to respond</w:t>
      </w:r>
      <w:r w:rsidR="0042056E">
        <w:rPr>
          <w:sz w:val="22"/>
          <w:szCs w:val="22"/>
        </w:rPr>
        <w:t>.</w:t>
      </w:r>
    </w:p>
    <w:p w14:paraId="032CC10B" w14:textId="50477A76" w:rsidR="0042056E" w:rsidRPr="0042056E" w:rsidRDefault="0042056E" w:rsidP="003B7FAD">
      <w:pPr>
        <w:rPr>
          <w:sz w:val="22"/>
          <w:szCs w:val="22"/>
        </w:rPr>
      </w:pPr>
      <w:r>
        <w:rPr>
          <w:sz w:val="22"/>
          <w:szCs w:val="22"/>
        </w:rPr>
        <w:t xml:space="preserve">There is a website to complete the consultation in full or if you want to simply send an email send it to: </w:t>
      </w:r>
      <w:r w:rsidRPr="005706B6">
        <w:rPr>
          <w:b/>
          <w:bCs/>
          <w:sz w:val="22"/>
          <w:szCs w:val="22"/>
        </w:rPr>
        <w:t>localplan@lewes-eastbourne.gov.uk</w:t>
      </w:r>
    </w:p>
    <w:p w14:paraId="33E3D480" w14:textId="77777777" w:rsidR="00AF5820" w:rsidRDefault="0042056E" w:rsidP="003B7FAD">
      <w:pPr>
        <w:rPr>
          <w:sz w:val="22"/>
          <w:szCs w:val="22"/>
        </w:rPr>
      </w:pPr>
      <w:r>
        <w:rPr>
          <w:sz w:val="22"/>
          <w:szCs w:val="22"/>
        </w:rPr>
        <w:t>Regarding:</w:t>
      </w:r>
      <w:r w:rsidRPr="0042056E">
        <w:rPr>
          <w:sz w:val="22"/>
          <w:szCs w:val="22"/>
        </w:rPr>
        <w:t xml:space="preserve"> </w:t>
      </w:r>
      <w:r>
        <w:rPr>
          <w:sz w:val="22"/>
          <w:szCs w:val="22"/>
        </w:rPr>
        <w:t>T</w:t>
      </w:r>
      <w:r w:rsidRPr="0042056E">
        <w:rPr>
          <w:sz w:val="22"/>
          <w:szCs w:val="22"/>
        </w:rPr>
        <w:t>he allocation of CB1 and CB2 at Cooksbridge. The proposed 751 homes are not justified by the evidence and conflict with national policy, the settlement hierarchy, and the Council’s own spatial strategy.</w:t>
      </w:r>
      <w:r>
        <w:rPr>
          <w:sz w:val="22"/>
          <w:szCs w:val="22"/>
        </w:rPr>
        <w:t xml:space="preserve">  </w:t>
      </w:r>
    </w:p>
    <w:p w14:paraId="6589A5CD" w14:textId="6BA1A92B" w:rsidR="00AF5820" w:rsidRDefault="00AF5820" w:rsidP="003B7FAD">
      <w:pPr>
        <w:rPr>
          <w:sz w:val="22"/>
          <w:szCs w:val="22"/>
        </w:rPr>
      </w:pPr>
      <w:bookmarkStart w:id="0" w:name="_GoBack"/>
      <w:bookmarkEnd w:id="0"/>
      <w:r w:rsidRPr="00AF5820">
        <w:rPr>
          <w:b/>
          <w:color w:val="FF0000"/>
          <w:sz w:val="22"/>
          <w:szCs w:val="22"/>
        </w:rPr>
        <w:t>S</w:t>
      </w:r>
      <w:r w:rsidR="0042056E" w:rsidRPr="00AF5820">
        <w:rPr>
          <w:b/>
          <w:color w:val="FF0000"/>
          <w:sz w:val="22"/>
          <w:szCs w:val="22"/>
        </w:rPr>
        <w:t>tate clearly if you object or agree</w:t>
      </w:r>
      <w:r w:rsidRPr="00AF5820">
        <w:rPr>
          <w:b/>
          <w:color w:val="FF0000"/>
          <w:sz w:val="22"/>
          <w:szCs w:val="22"/>
        </w:rPr>
        <w:t>.</w:t>
      </w:r>
      <w:r w:rsidR="0042056E" w:rsidRPr="0042056E">
        <w:rPr>
          <w:sz w:val="22"/>
          <w:szCs w:val="22"/>
        </w:rPr>
        <w:br/>
      </w:r>
    </w:p>
    <w:p w14:paraId="3DD8CD1F" w14:textId="77777777" w:rsidR="00AF5820" w:rsidRDefault="0042056E" w:rsidP="003B7FAD">
      <w:pPr>
        <w:rPr>
          <w:sz w:val="22"/>
          <w:szCs w:val="22"/>
        </w:rPr>
      </w:pPr>
      <w:r w:rsidRPr="0042056E">
        <w:rPr>
          <w:sz w:val="22"/>
          <w:szCs w:val="22"/>
        </w:rPr>
        <w:t>1. Unsustainable Location (Tier 4 Village)</w:t>
      </w:r>
      <w:r w:rsidRPr="0042056E">
        <w:rPr>
          <w:sz w:val="22"/>
          <w:szCs w:val="22"/>
        </w:rPr>
        <w:br/>
        <w:t>Cooksbridge is a Tier 4 settlement with very limited services, no GP, no secondary school, and constrained primary capacity. Rail access alone does not make it sustainable. Appeal decisions confirm that a station cannot compensate for poor walkability and lack of facilities. The scale proposed contradicts SDS1–SDS3 and the Settlement Hierarchy Review.</w:t>
      </w:r>
    </w:p>
    <w:p w14:paraId="1B114C89" w14:textId="77777777" w:rsidR="00AF5820" w:rsidRDefault="00AF5820" w:rsidP="003B7FAD">
      <w:pPr>
        <w:rPr>
          <w:b/>
          <w:color w:val="EE0000"/>
          <w:sz w:val="22"/>
          <w:szCs w:val="22"/>
        </w:rPr>
      </w:pPr>
      <w:r w:rsidRPr="00AF5820">
        <w:rPr>
          <w:b/>
          <w:color w:val="EE0000"/>
          <w:sz w:val="22"/>
          <w:szCs w:val="22"/>
        </w:rPr>
        <w:t>A</w:t>
      </w:r>
      <w:r w:rsidR="0042056E" w:rsidRPr="00AF5820">
        <w:rPr>
          <w:b/>
          <w:color w:val="EE0000"/>
          <w:sz w:val="22"/>
          <w:szCs w:val="22"/>
        </w:rPr>
        <w:t>ny of your own thoughts about the lack of facilities for increased housing, be specific to your situation</w:t>
      </w:r>
    </w:p>
    <w:p w14:paraId="1DAFA82A" w14:textId="77777777" w:rsidR="00AF5820" w:rsidRDefault="0042056E" w:rsidP="003B7FAD">
      <w:pPr>
        <w:rPr>
          <w:sz w:val="22"/>
          <w:szCs w:val="22"/>
        </w:rPr>
      </w:pPr>
      <w:r w:rsidRPr="0042056E">
        <w:rPr>
          <w:sz w:val="22"/>
          <w:szCs w:val="22"/>
        </w:rPr>
        <w:br/>
        <w:t>2. Major Harm to the South Downs National Park Setting</w:t>
      </w:r>
      <w:r w:rsidRPr="0042056E">
        <w:rPr>
          <w:sz w:val="22"/>
          <w:szCs w:val="22"/>
        </w:rPr>
        <w:br/>
        <w:t>Both sites sit directly beside the National Park and form part of its setting. Multiple landscape assessments (AECOM 2023–25, LVIA) identify high to major adverse impacts that cannot be mitigated, including loss of valley openness and urbanisation of the Ouse Valley. This conflicts with the Levelling Up &amp; Regeneration Act 2023 duty to give particular weight to National Park settings.</w:t>
      </w:r>
      <w:r>
        <w:rPr>
          <w:sz w:val="22"/>
          <w:szCs w:val="22"/>
        </w:rPr>
        <w:t xml:space="preserve"> </w:t>
      </w:r>
    </w:p>
    <w:p w14:paraId="573BB0C2" w14:textId="77777777" w:rsidR="00AF5820" w:rsidRDefault="00AF5820" w:rsidP="003B7FAD">
      <w:pPr>
        <w:rPr>
          <w:b/>
          <w:color w:val="FF0000"/>
          <w:sz w:val="22"/>
          <w:szCs w:val="22"/>
        </w:rPr>
      </w:pPr>
      <w:r w:rsidRPr="00AF5820">
        <w:rPr>
          <w:b/>
          <w:color w:val="FF0000"/>
          <w:sz w:val="22"/>
          <w:szCs w:val="22"/>
        </w:rPr>
        <w:t>A</w:t>
      </w:r>
      <w:r w:rsidR="0042056E" w:rsidRPr="00AF5820">
        <w:rPr>
          <w:b/>
          <w:color w:val="FF0000"/>
          <w:sz w:val="22"/>
          <w:szCs w:val="22"/>
        </w:rPr>
        <w:t>nything related to SNDP such as dark skies or any wildlife or trees could also be added here</w:t>
      </w:r>
      <w:r w:rsidRPr="00AF5820">
        <w:rPr>
          <w:b/>
          <w:color w:val="FF0000"/>
          <w:sz w:val="22"/>
          <w:szCs w:val="22"/>
        </w:rPr>
        <w:t>.</w:t>
      </w:r>
    </w:p>
    <w:p w14:paraId="077F4529" w14:textId="6AD3B7B6" w:rsidR="00AF5820" w:rsidRPr="00AF5820" w:rsidRDefault="0042056E" w:rsidP="003B7FAD">
      <w:pPr>
        <w:rPr>
          <w:b/>
          <w:color w:val="FF0000"/>
          <w:sz w:val="22"/>
          <w:szCs w:val="22"/>
        </w:rPr>
      </w:pPr>
      <w:r w:rsidRPr="0042056E">
        <w:rPr>
          <w:sz w:val="22"/>
          <w:szCs w:val="22"/>
        </w:rPr>
        <w:br/>
        <w:t>3. Infrastructure Constraints Make the Sites Undeliverable</w:t>
      </w:r>
      <w:r w:rsidRPr="0042056E">
        <w:rPr>
          <w:sz w:val="22"/>
          <w:szCs w:val="22"/>
        </w:rPr>
        <w:br/>
        <w:t>The A275 and Cooksbridge level crossing are already heavily used and high</w:t>
      </w:r>
      <w:r w:rsidRPr="0042056E">
        <w:rPr>
          <w:sz w:val="22"/>
          <w:szCs w:val="22"/>
        </w:rPr>
        <w:noBreakHyphen/>
        <w:t>risk. Wastewater treatment capacity is insufficient, and required upgrades are uncertain and costly. The Sustainability Appraisal itself highlights unresolved harms and shows that reasonable alternatives exist with far lower impact.</w:t>
      </w:r>
    </w:p>
    <w:p w14:paraId="14E3362A" w14:textId="77777777" w:rsidR="00AF5820" w:rsidRDefault="00AF5820" w:rsidP="003B7FAD">
      <w:pPr>
        <w:rPr>
          <w:sz w:val="22"/>
          <w:szCs w:val="22"/>
        </w:rPr>
      </w:pPr>
      <w:r w:rsidRPr="00AF5820">
        <w:rPr>
          <w:b/>
          <w:color w:val="FF0000"/>
          <w:sz w:val="22"/>
          <w:szCs w:val="22"/>
        </w:rPr>
        <w:t>A</w:t>
      </w:r>
      <w:r w:rsidR="0042056E" w:rsidRPr="00AF5820">
        <w:rPr>
          <w:b/>
          <w:color w:val="FF0000"/>
          <w:sz w:val="22"/>
          <w:szCs w:val="22"/>
        </w:rPr>
        <w:t>ny additional infrastructure constraints</w:t>
      </w:r>
      <w:r w:rsidRPr="00AF5820">
        <w:rPr>
          <w:b/>
          <w:color w:val="FF0000"/>
          <w:sz w:val="22"/>
          <w:szCs w:val="22"/>
        </w:rPr>
        <w:t>.</w:t>
      </w:r>
      <w:r w:rsidR="0042056E" w:rsidRPr="0042056E">
        <w:rPr>
          <w:sz w:val="22"/>
          <w:szCs w:val="22"/>
        </w:rPr>
        <w:br/>
      </w:r>
    </w:p>
    <w:p w14:paraId="50A899DD" w14:textId="27F8F532" w:rsidR="0042056E" w:rsidRPr="0042056E" w:rsidRDefault="0042056E" w:rsidP="003B7FAD">
      <w:pPr>
        <w:rPr>
          <w:sz w:val="22"/>
          <w:szCs w:val="22"/>
        </w:rPr>
      </w:pPr>
      <w:r w:rsidRPr="0042056E">
        <w:rPr>
          <w:sz w:val="22"/>
          <w:szCs w:val="22"/>
        </w:rPr>
        <w:t>Conclusion</w:t>
      </w:r>
      <w:r w:rsidRPr="0042056E">
        <w:rPr>
          <w:sz w:val="22"/>
          <w:szCs w:val="22"/>
        </w:rPr>
        <w:br/>
        <w:t>The allocations are not sound, not justified, and not consistent with national policy. CB1 and CB2 should be removed or significantly reduced.</w:t>
      </w:r>
    </w:p>
    <w:p w14:paraId="5CDA6E2E" w14:textId="77777777" w:rsidR="003B7FAD" w:rsidRPr="0042056E" w:rsidRDefault="003B7FAD">
      <w:pPr>
        <w:rPr>
          <w:sz w:val="22"/>
          <w:szCs w:val="22"/>
        </w:rPr>
      </w:pPr>
    </w:p>
    <w:sectPr w:rsidR="003B7FAD" w:rsidRPr="0042056E" w:rsidSect="00AF58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AD"/>
    <w:rsid w:val="00141EDC"/>
    <w:rsid w:val="001A64B6"/>
    <w:rsid w:val="003B7FAD"/>
    <w:rsid w:val="0042056E"/>
    <w:rsid w:val="005706B6"/>
    <w:rsid w:val="00AF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7276"/>
  <w15:chartTrackingRefBased/>
  <w15:docId w15:val="{0CD8AAF7-29D2-41E3-809C-8C788760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FAD"/>
    <w:rPr>
      <w:rFonts w:eastAsiaTheme="majorEastAsia" w:cstheme="majorBidi"/>
      <w:color w:val="272727" w:themeColor="text1" w:themeTint="D8"/>
    </w:rPr>
  </w:style>
  <w:style w:type="paragraph" w:styleId="Title">
    <w:name w:val="Title"/>
    <w:basedOn w:val="Normal"/>
    <w:next w:val="Normal"/>
    <w:link w:val="TitleChar"/>
    <w:uiPriority w:val="10"/>
    <w:qFormat/>
    <w:rsid w:val="003B7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FAD"/>
    <w:pPr>
      <w:spacing w:before="160"/>
      <w:jc w:val="center"/>
    </w:pPr>
    <w:rPr>
      <w:i/>
      <w:iCs/>
      <w:color w:val="404040" w:themeColor="text1" w:themeTint="BF"/>
    </w:rPr>
  </w:style>
  <w:style w:type="character" w:customStyle="1" w:styleId="QuoteChar">
    <w:name w:val="Quote Char"/>
    <w:basedOn w:val="DefaultParagraphFont"/>
    <w:link w:val="Quote"/>
    <w:uiPriority w:val="29"/>
    <w:rsid w:val="003B7FAD"/>
    <w:rPr>
      <w:i/>
      <w:iCs/>
      <w:color w:val="404040" w:themeColor="text1" w:themeTint="BF"/>
    </w:rPr>
  </w:style>
  <w:style w:type="paragraph" w:styleId="ListParagraph">
    <w:name w:val="List Paragraph"/>
    <w:basedOn w:val="Normal"/>
    <w:uiPriority w:val="34"/>
    <w:qFormat/>
    <w:rsid w:val="003B7FAD"/>
    <w:pPr>
      <w:ind w:left="720"/>
      <w:contextualSpacing/>
    </w:pPr>
  </w:style>
  <w:style w:type="character" w:styleId="IntenseEmphasis">
    <w:name w:val="Intense Emphasis"/>
    <w:basedOn w:val="DefaultParagraphFont"/>
    <w:uiPriority w:val="21"/>
    <w:qFormat/>
    <w:rsid w:val="003B7FAD"/>
    <w:rPr>
      <w:i/>
      <w:iCs/>
      <w:color w:val="0F4761" w:themeColor="accent1" w:themeShade="BF"/>
    </w:rPr>
  </w:style>
  <w:style w:type="paragraph" w:styleId="IntenseQuote">
    <w:name w:val="Intense Quote"/>
    <w:basedOn w:val="Normal"/>
    <w:next w:val="Normal"/>
    <w:link w:val="IntenseQuoteChar"/>
    <w:uiPriority w:val="30"/>
    <w:qFormat/>
    <w:rsid w:val="003B7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FAD"/>
    <w:rPr>
      <w:i/>
      <w:iCs/>
      <w:color w:val="0F4761" w:themeColor="accent1" w:themeShade="BF"/>
    </w:rPr>
  </w:style>
  <w:style w:type="character" w:styleId="IntenseReference">
    <w:name w:val="Intense Reference"/>
    <w:basedOn w:val="DefaultParagraphFont"/>
    <w:uiPriority w:val="32"/>
    <w:qFormat/>
    <w:rsid w:val="003B7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Henry</dc:creator>
  <cp:keywords/>
  <dc:description/>
  <cp:lastModifiedBy>User</cp:lastModifiedBy>
  <cp:revision>3</cp:revision>
  <dcterms:created xsi:type="dcterms:W3CDTF">2026-02-04T10:05:00Z</dcterms:created>
  <dcterms:modified xsi:type="dcterms:W3CDTF">2026-02-04T10:08:00Z</dcterms:modified>
</cp:coreProperties>
</file>